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20E" w:rsidRPr="00FC4FA6" w:rsidRDefault="000A320E" w:rsidP="00F96BFF">
      <w:pPr>
        <w:spacing w:before="100" w:beforeAutospacing="1" w:after="100" w:afterAutospacing="1" w:line="248" w:lineRule="atLeast"/>
        <w:rPr>
          <w:rFonts w:ascii="Times New Roman" w:hAnsi="Times New Roman"/>
          <w:sz w:val="24"/>
          <w:lang w:val="sl-SI" w:eastAsia="sl-SI"/>
        </w:rPr>
      </w:pPr>
    </w:p>
    <w:p w:rsidR="000A320E" w:rsidRPr="00573C78" w:rsidRDefault="000553FF" w:rsidP="00573C78">
      <w:pPr>
        <w:pStyle w:val="Naslov1"/>
      </w:pPr>
      <w:r w:rsidRPr="00573C78">
        <w:t>Informacija vezana na o</w:t>
      </w:r>
      <w:r w:rsidR="000A320E" w:rsidRPr="00573C78">
        <w:t>značevanje hranilne vrednosti</w:t>
      </w:r>
    </w:p>
    <w:p w:rsidR="00635744" w:rsidRPr="00FC4FA6" w:rsidRDefault="000A320E" w:rsidP="00AF5131">
      <w:pPr>
        <w:jc w:val="both"/>
        <w:rPr>
          <w:lang w:val="sl-SI"/>
        </w:rPr>
      </w:pPr>
      <w:r w:rsidRPr="00FC4FA6">
        <w:rPr>
          <w:lang w:val="sl-SI"/>
        </w:rPr>
        <w:t xml:space="preserve">Označevanje hranilne vrednosti je obvezno za vsa predpakirana živila, vključno za živila, ki so namenjena obratom javne prehrane, če so ta živila v predpakirani obliki neposredno ponujena končnim potrošnikom (npr. razne omake, pijače v originalni embalaži ipd.). Označevanje hranilne vrednosti ni potrebno v primeru  </w:t>
      </w:r>
      <w:proofErr w:type="spellStart"/>
      <w:r w:rsidRPr="00FC4FA6">
        <w:rPr>
          <w:lang w:val="sl-SI"/>
        </w:rPr>
        <w:t>nepredpakiranih</w:t>
      </w:r>
      <w:proofErr w:type="spellEnd"/>
      <w:r w:rsidRPr="00FC4FA6">
        <w:rPr>
          <w:lang w:val="sl-SI"/>
        </w:rPr>
        <w:t xml:space="preserve"> živil.</w:t>
      </w:r>
    </w:p>
    <w:p w:rsidR="000A320E" w:rsidRPr="00FC4FA6" w:rsidRDefault="000A320E" w:rsidP="00AF5131">
      <w:pPr>
        <w:jc w:val="both"/>
        <w:rPr>
          <w:lang w:val="sl-SI"/>
        </w:rPr>
      </w:pPr>
    </w:p>
    <w:p w:rsidR="000A320E" w:rsidRPr="00FC4FA6" w:rsidRDefault="000A320E" w:rsidP="00AF5131">
      <w:pPr>
        <w:jc w:val="both"/>
        <w:rPr>
          <w:lang w:val="sl-SI"/>
        </w:rPr>
      </w:pPr>
      <w:r w:rsidRPr="00FC4FA6">
        <w:rPr>
          <w:lang w:val="sl-SI"/>
        </w:rPr>
        <w:t>Izjeme, ki so izvzete iz zahteve po obvezni označbi hranilne vrednosti, so navedene v Prilogi V Uredbe (EU) št. 1169/2011.</w:t>
      </w:r>
    </w:p>
    <w:p w:rsidR="000A320E" w:rsidRPr="00FC4FA6" w:rsidRDefault="000A320E" w:rsidP="00AF5131">
      <w:pPr>
        <w:jc w:val="both"/>
        <w:rPr>
          <w:lang w:val="sl-SI"/>
        </w:rPr>
      </w:pPr>
    </w:p>
    <w:p w:rsidR="000A320E" w:rsidRPr="00573C78" w:rsidRDefault="000A320E" w:rsidP="00573C78">
      <w:pPr>
        <w:pStyle w:val="Naslov2"/>
      </w:pPr>
      <w:r w:rsidRPr="00573C78">
        <w:t>ŽIVILA, KI SO IZVZETA IZ ZAHTEVE PO OBVEZNI OZNAČBI HRANILNE VREDNOSTI</w:t>
      </w:r>
    </w:p>
    <w:p w:rsidR="00F96BFF" w:rsidRPr="00FC4FA6" w:rsidRDefault="00F96BFF" w:rsidP="00AF5131">
      <w:pPr>
        <w:jc w:val="both"/>
        <w:rPr>
          <w:b/>
          <w:lang w:val="sl-SI"/>
        </w:rPr>
      </w:pPr>
    </w:p>
    <w:p w:rsidR="000A320E" w:rsidRPr="00FC4FA6" w:rsidRDefault="000A320E" w:rsidP="00AF5131">
      <w:pPr>
        <w:jc w:val="both"/>
        <w:rPr>
          <w:lang w:val="sl-SI"/>
        </w:rPr>
      </w:pPr>
      <w:r w:rsidRPr="00FC4FA6">
        <w:rPr>
          <w:lang w:val="sl-SI"/>
        </w:rPr>
        <w:t>1. Nepredelani proizvodi, ki vsebujejo eno sestavino ali kategorijo sestavin;</w:t>
      </w:r>
    </w:p>
    <w:p w:rsidR="000A320E" w:rsidRPr="00FC4FA6" w:rsidRDefault="000A320E" w:rsidP="00AF5131">
      <w:pPr>
        <w:jc w:val="both"/>
        <w:rPr>
          <w:lang w:val="sl-SI"/>
        </w:rPr>
      </w:pPr>
      <w:r w:rsidRPr="00FC4FA6">
        <w:rPr>
          <w:lang w:val="sl-SI"/>
        </w:rPr>
        <w:t>2. predelani proizvodi, ki so bili le v enem postopku predelave z zorenjem in vsebujejo eno sestavino ali kategorijo sestavin;</w:t>
      </w:r>
    </w:p>
    <w:p w:rsidR="000A320E" w:rsidRPr="00FC4FA6" w:rsidRDefault="000A320E" w:rsidP="00AF5131">
      <w:pPr>
        <w:jc w:val="both"/>
        <w:rPr>
          <w:lang w:val="sl-SI"/>
        </w:rPr>
      </w:pPr>
      <w:r w:rsidRPr="00FC4FA6">
        <w:rPr>
          <w:lang w:val="sl-SI"/>
        </w:rPr>
        <w:t>3. vode za prehranjevanje ljudi, vključno s tistimi, v katerih so edine dodane sestavine ogljikov dioksid in/ali arome;</w:t>
      </w:r>
    </w:p>
    <w:p w:rsidR="000A320E" w:rsidRPr="00FC4FA6" w:rsidRDefault="000A320E" w:rsidP="00AF5131">
      <w:pPr>
        <w:jc w:val="both"/>
        <w:rPr>
          <w:lang w:val="sl-SI"/>
        </w:rPr>
      </w:pPr>
      <w:r w:rsidRPr="00FC4FA6">
        <w:rPr>
          <w:lang w:val="sl-SI"/>
        </w:rPr>
        <w:t>4. zelišča, dišave ali njihove mešanice;</w:t>
      </w:r>
    </w:p>
    <w:p w:rsidR="000A320E" w:rsidRPr="00FC4FA6" w:rsidRDefault="000A320E" w:rsidP="00AF5131">
      <w:pPr>
        <w:jc w:val="both"/>
        <w:rPr>
          <w:lang w:val="sl-SI"/>
        </w:rPr>
      </w:pPr>
      <w:r w:rsidRPr="00FC4FA6">
        <w:rPr>
          <w:lang w:val="sl-SI"/>
        </w:rPr>
        <w:t>5. sol in nadomestki soli;</w:t>
      </w:r>
    </w:p>
    <w:p w:rsidR="000A320E" w:rsidRPr="00FC4FA6" w:rsidRDefault="000A320E" w:rsidP="00AF5131">
      <w:pPr>
        <w:jc w:val="both"/>
        <w:rPr>
          <w:lang w:val="sl-SI"/>
        </w:rPr>
      </w:pPr>
      <w:r w:rsidRPr="00FC4FA6">
        <w:rPr>
          <w:lang w:val="sl-SI"/>
        </w:rPr>
        <w:t>6. namizna sladila;</w:t>
      </w:r>
    </w:p>
    <w:p w:rsidR="000A320E" w:rsidRPr="00FC4FA6" w:rsidRDefault="000A320E" w:rsidP="00AF5131">
      <w:pPr>
        <w:jc w:val="both"/>
        <w:rPr>
          <w:lang w:val="sl-SI"/>
        </w:rPr>
      </w:pPr>
      <w:r w:rsidRPr="00FC4FA6">
        <w:rPr>
          <w:lang w:val="sl-SI"/>
        </w:rPr>
        <w:t xml:space="preserve">7. proizvodi, ki jih zajema Direktiva 1999/4/ES Evropskega parlamenta in Sveta z dne 22. februarja 1999 o kavnih in </w:t>
      </w:r>
      <w:proofErr w:type="spellStart"/>
      <w:r w:rsidRPr="00FC4FA6">
        <w:rPr>
          <w:lang w:val="sl-SI"/>
        </w:rPr>
        <w:t>cikorijinih</w:t>
      </w:r>
      <w:proofErr w:type="spellEnd"/>
      <w:r w:rsidRPr="00FC4FA6">
        <w:rPr>
          <w:lang w:val="sl-SI"/>
        </w:rPr>
        <w:t xml:space="preserve"> ekstraktih ( 17 ), cela ali mleta zrna kave in cela ali mleta </w:t>
      </w:r>
      <w:proofErr w:type="spellStart"/>
      <w:r w:rsidRPr="00FC4FA6">
        <w:rPr>
          <w:lang w:val="sl-SI"/>
        </w:rPr>
        <w:t>dekofeinizirana</w:t>
      </w:r>
      <w:proofErr w:type="spellEnd"/>
      <w:r w:rsidRPr="00FC4FA6">
        <w:rPr>
          <w:lang w:val="sl-SI"/>
        </w:rPr>
        <w:t xml:space="preserve"> zrna kave;</w:t>
      </w:r>
    </w:p>
    <w:p w:rsidR="000A320E" w:rsidRPr="00FC4FA6" w:rsidRDefault="000A320E" w:rsidP="00AF5131">
      <w:pPr>
        <w:jc w:val="both"/>
        <w:rPr>
          <w:lang w:val="sl-SI"/>
        </w:rPr>
      </w:pPr>
      <w:r w:rsidRPr="00FC4FA6">
        <w:rPr>
          <w:lang w:val="sl-SI"/>
        </w:rPr>
        <w:t xml:space="preserve">8. zeliščni in sadni poparki, čaj, </w:t>
      </w:r>
      <w:proofErr w:type="spellStart"/>
      <w:r w:rsidRPr="00FC4FA6">
        <w:rPr>
          <w:lang w:val="sl-SI"/>
        </w:rPr>
        <w:t>dekofeiniziran</w:t>
      </w:r>
      <w:proofErr w:type="spellEnd"/>
      <w:r w:rsidRPr="00FC4FA6">
        <w:rPr>
          <w:lang w:val="sl-SI"/>
        </w:rPr>
        <w:t xml:space="preserve"> čaj, instant čaj ali čaj, topen v vodi, ali čajni ekstrakt, </w:t>
      </w:r>
      <w:proofErr w:type="spellStart"/>
      <w:r w:rsidRPr="00FC4FA6">
        <w:rPr>
          <w:lang w:val="sl-SI"/>
        </w:rPr>
        <w:t>dekofeiniziran</w:t>
      </w:r>
      <w:proofErr w:type="spellEnd"/>
      <w:r w:rsidRPr="00FC4FA6">
        <w:rPr>
          <w:lang w:val="sl-SI"/>
        </w:rPr>
        <w:t xml:space="preserve"> instant čaj ali čaj, topen v vodi, ali čajni ekstrakt, ki ne vsebujejo drugih dodanih sestavin razen arom, ki ne spreminjajo hranilne vrednosti čaja;</w:t>
      </w:r>
    </w:p>
    <w:p w:rsidR="000A320E" w:rsidRPr="00FC4FA6" w:rsidRDefault="000A320E" w:rsidP="00AF5131">
      <w:pPr>
        <w:jc w:val="both"/>
        <w:rPr>
          <w:lang w:val="sl-SI"/>
        </w:rPr>
      </w:pPr>
      <w:r w:rsidRPr="00FC4FA6">
        <w:rPr>
          <w:lang w:val="sl-SI"/>
        </w:rPr>
        <w:t>9. fermentirani kisi in nadomestki kisov, vključno s tistimi, v katerih je edina dodana sestavina aroma;</w:t>
      </w:r>
    </w:p>
    <w:p w:rsidR="000A320E" w:rsidRPr="00FC4FA6" w:rsidRDefault="000A320E" w:rsidP="00AF5131">
      <w:pPr>
        <w:jc w:val="both"/>
        <w:rPr>
          <w:lang w:val="sl-SI"/>
        </w:rPr>
      </w:pPr>
      <w:r w:rsidRPr="00FC4FA6">
        <w:rPr>
          <w:lang w:val="sl-SI"/>
        </w:rPr>
        <w:t>10. arome;</w:t>
      </w:r>
    </w:p>
    <w:p w:rsidR="000A320E" w:rsidRPr="00FC4FA6" w:rsidRDefault="000A320E" w:rsidP="00AF5131">
      <w:pPr>
        <w:jc w:val="both"/>
        <w:rPr>
          <w:lang w:val="sl-SI"/>
        </w:rPr>
      </w:pPr>
      <w:r w:rsidRPr="00FC4FA6">
        <w:rPr>
          <w:lang w:val="sl-SI"/>
        </w:rPr>
        <w:t>11. aditivi za živila;</w:t>
      </w:r>
    </w:p>
    <w:p w:rsidR="000A320E" w:rsidRPr="00FC4FA6" w:rsidRDefault="000553FF" w:rsidP="00AF5131">
      <w:pPr>
        <w:jc w:val="both"/>
        <w:rPr>
          <w:lang w:val="sl-SI"/>
        </w:rPr>
      </w:pPr>
      <w:r w:rsidRPr="00FC4FA6">
        <w:rPr>
          <w:lang w:val="sl-SI"/>
        </w:rPr>
        <w:t>12. pomožna tehnološka sredstva;</w:t>
      </w:r>
    </w:p>
    <w:p w:rsidR="000553FF" w:rsidRPr="00FC4FA6" w:rsidRDefault="000553FF" w:rsidP="00AF5131">
      <w:pPr>
        <w:jc w:val="both"/>
        <w:rPr>
          <w:lang w:val="sl-SI"/>
        </w:rPr>
      </w:pPr>
      <w:r w:rsidRPr="00FC4FA6">
        <w:rPr>
          <w:lang w:val="sl-SI"/>
        </w:rPr>
        <w:t>13. encimi za živila;</w:t>
      </w:r>
    </w:p>
    <w:p w:rsidR="000A320E" w:rsidRPr="00FC4FA6" w:rsidRDefault="000553FF" w:rsidP="00AF5131">
      <w:pPr>
        <w:jc w:val="both"/>
        <w:rPr>
          <w:lang w:val="sl-SI"/>
        </w:rPr>
      </w:pPr>
      <w:r w:rsidRPr="00FC4FA6">
        <w:rPr>
          <w:lang w:val="sl-SI"/>
        </w:rPr>
        <w:t>14. želatina;</w:t>
      </w:r>
    </w:p>
    <w:p w:rsidR="000553FF" w:rsidRPr="00FC4FA6" w:rsidRDefault="000553FF" w:rsidP="00AF5131">
      <w:pPr>
        <w:jc w:val="both"/>
        <w:rPr>
          <w:lang w:val="sl-SI"/>
        </w:rPr>
      </w:pPr>
      <w:r w:rsidRPr="00FC4FA6">
        <w:rPr>
          <w:lang w:val="sl-SI"/>
        </w:rPr>
        <w:t>15. želirne sestavine za džem;</w:t>
      </w:r>
    </w:p>
    <w:p w:rsidR="000553FF" w:rsidRPr="00FC4FA6" w:rsidRDefault="000553FF" w:rsidP="00AF5131">
      <w:pPr>
        <w:jc w:val="both"/>
        <w:rPr>
          <w:lang w:val="sl-SI"/>
        </w:rPr>
      </w:pPr>
      <w:r w:rsidRPr="00FC4FA6">
        <w:rPr>
          <w:lang w:val="sl-SI"/>
        </w:rPr>
        <w:t>16. kvas;</w:t>
      </w:r>
    </w:p>
    <w:p w:rsidR="000553FF" w:rsidRPr="00FC4FA6" w:rsidRDefault="000553FF" w:rsidP="00AF5131">
      <w:pPr>
        <w:jc w:val="both"/>
        <w:rPr>
          <w:lang w:val="sl-SI"/>
        </w:rPr>
      </w:pPr>
      <w:r w:rsidRPr="00FC4FA6">
        <w:rPr>
          <w:lang w:val="sl-SI"/>
        </w:rPr>
        <w:t>17. žvečilni gumiji;</w:t>
      </w:r>
    </w:p>
    <w:p w:rsidR="000553FF" w:rsidRPr="00FC4FA6" w:rsidRDefault="000553FF" w:rsidP="00AF5131">
      <w:pPr>
        <w:jc w:val="both"/>
        <w:rPr>
          <w:lang w:val="sl-SI"/>
        </w:rPr>
      </w:pPr>
      <w:r w:rsidRPr="00FC4FA6">
        <w:rPr>
          <w:lang w:val="sl-SI"/>
        </w:rPr>
        <w:t>18. živila v embalaži ali posodi, katere največja površina je manjša od 25 cm2;</w:t>
      </w:r>
    </w:p>
    <w:p w:rsidR="000553FF" w:rsidRPr="00FC4FA6" w:rsidRDefault="000553FF" w:rsidP="00AF5131">
      <w:pPr>
        <w:jc w:val="both"/>
        <w:rPr>
          <w:lang w:val="sl-SI"/>
        </w:rPr>
      </w:pPr>
      <w:r w:rsidRPr="00FC4FA6">
        <w:rPr>
          <w:lang w:val="sl-SI"/>
        </w:rPr>
        <w:t>19. živila, tudi obrtno proizvedena živila, ki jih proizvajalec majhnih količin proizvodov dobavlja neposredno končnemu potrošniku ali lokalnim maloprodajnim podjetjem, ki dobavljajo neposredno končnemu potrošniku.</w:t>
      </w:r>
    </w:p>
    <w:p w:rsidR="000553FF" w:rsidRPr="00FC4FA6" w:rsidRDefault="000553FF" w:rsidP="00AF5131">
      <w:pPr>
        <w:jc w:val="both"/>
        <w:rPr>
          <w:lang w:val="sl-SI"/>
        </w:rPr>
      </w:pP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xml:space="preserve">V 19. točki Priloge V Uredbe (EU) št.  1169/2011 je navedeno, da označevanje hranilne vrednosti na predpakiranih živilih ni obvezno za obrtno proizvedena živila, ki jih v okviru svoje živilske dejavnosti dajejo na trg posamezniki, posamezniki, ki samostojno opravljajo dejavnost in </w:t>
      </w:r>
      <w:proofErr w:type="spellStart"/>
      <w:r w:rsidRPr="00FC4FA6">
        <w:rPr>
          <w:rFonts w:cs="Arial"/>
          <w:szCs w:val="20"/>
          <w:lang w:val="sl-SI" w:eastAsia="sl-SI"/>
        </w:rPr>
        <w:t>mikro</w:t>
      </w:r>
      <w:proofErr w:type="spellEnd"/>
      <w:r w:rsidRPr="00FC4FA6">
        <w:rPr>
          <w:rFonts w:cs="Arial"/>
          <w:szCs w:val="20"/>
          <w:lang w:val="sl-SI" w:eastAsia="sl-SI"/>
        </w:rPr>
        <w:t xml:space="preserve"> družbe, skladno s predpisom, ki ureja gospodarske družbe, katerih povprečno število delavcev v </w:t>
      </w:r>
      <w:r w:rsidRPr="00FC4FA6">
        <w:rPr>
          <w:rFonts w:cs="Arial"/>
          <w:szCs w:val="20"/>
          <w:lang w:val="sl-SI" w:eastAsia="sl-SI"/>
        </w:rPr>
        <w:lastRenderedPageBreak/>
        <w:t xml:space="preserve">poslovnem letu ne presega števila 10. Metodologija izračuna povprečnega števila zaposlenih na podlagi delovnih ur je določena v " Navodilih o  predložitvi letnih poročil in drugih podatkov gospodarskih družb, zadrug in samostojnih podjetnikov posameznikov (Uradni list RS, št. 7/08, 8/09, 107/09 in 109/10), v bistvu pa to pomeni, da se v izračun povprečnega števila delavcev ne štejejo samo zaposleni, temveč vsi , ki delajo za določen pravni subjekt (npr. študentsko delo, pogodbeno delo oz. druge oblike </w:t>
      </w:r>
      <w:proofErr w:type="spellStart"/>
      <w:r w:rsidRPr="00FC4FA6">
        <w:rPr>
          <w:rFonts w:cs="Arial"/>
          <w:szCs w:val="20"/>
          <w:lang w:val="sl-SI" w:eastAsia="sl-SI"/>
        </w:rPr>
        <w:t>prekarnih</w:t>
      </w:r>
      <w:proofErr w:type="spellEnd"/>
      <w:r w:rsidRPr="00FC4FA6">
        <w:rPr>
          <w:rFonts w:cs="Arial"/>
          <w:szCs w:val="20"/>
          <w:lang w:val="sl-SI" w:eastAsia="sl-SI"/>
        </w:rPr>
        <w:t xml:space="preserve"> zaposlitev.</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Pri tem je potrebno poudariti, da odstop po navajanju hranilne vrednosti velja zgolj za tista obrtno proizvedena živila, ki izpolnjujejo pogoj neposrednosti trženja. Kar pomeni, da posredništvo v omenjenem primeru ni dovoljeno, razen če to predstavlja oziroma  je vezano le na transport oziroma dostavo živil od proizvajalca do končnega potrošnika oziroma lokalnega maloprodajnega obrata. Kot lokalno maloprodajno podjetje se šteje katerokoli maloprodajno podjetje na teritoriju Republike Slovenije.</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Definicija obrtno proizvedenih živil je bila objavljena v Pravilniku o spremembah in dopolnitvah Pravilnika o posebnih zahtevah glede označevanja in predstavljanja predpakiranih živil (Ur. L. RS št. 74/2016).</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V Sloveniji obstaja tudi orodje za izračun hranilne vrednosti, ki temelji na podatkih slovenskih kmetijskih pridelkov rastlinskega in živalskega izvora. Navedena baza je brezplačna in dosegljiva na povezavi OPKP- Odprta platforma za klinično prehrano</w:t>
      </w:r>
      <w:r w:rsidRPr="00FC4FA6">
        <w:rPr>
          <w:rFonts w:cs="Arial"/>
          <w:szCs w:val="20"/>
          <w:lang w:val="sl-SI" w:eastAsia="sl-SI"/>
        </w:rPr>
        <w:br/>
      </w:r>
      <w:hyperlink r:id="rId8" w:tgtFrame="_blank" w:history="1">
        <w:r w:rsidRPr="00FC4FA6">
          <w:rPr>
            <w:rFonts w:cs="Arial"/>
            <w:color w:val="529CBA"/>
            <w:szCs w:val="20"/>
            <w:u w:val="single"/>
            <w:lang w:val="sl-SI" w:eastAsia="sl-SI"/>
          </w:rPr>
          <w:t>http://www.opkp.si/sl_SI/cms/pomoc/pomoc-pri-delu-z-opkp</w:t>
        </w:r>
      </w:hyperlink>
      <w:r w:rsidRPr="00FC4FA6">
        <w:rPr>
          <w:rFonts w:cs="Arial"/>
          <w:szCs w:val="20"/>
          <w:lang w:val="sl-SI" w:eastAsia="sl-SI"/>
        </w:rPr>
        <w:t>.</w:t>
      </w:r>
    </w:p>
    <w:p w:rsidR="00F96BFF" w:rsidRPr="00FC4FA6" w:rsidRDefault="00F96BFF" w:rsidP="00F96BFF">
      <w:pPr>
        <w:spacing w:line="240" w:lineRule="auto"/>
        <w:jc w:val="both"/>
        <w:rPr>
          <w:rFonts w:cs="Arial"/>
          <w:szCs w:val="20"/>
          <w:lang w:val="sl-SI" w:eastAsia="sl-SI"/>
        </w:rPr>
      </w:pP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w:t>
      </w:r>
    </w:p>
    <w:p w:rsidR="00F96BFF" w:rsidRPr="00FC4FA6" w:rsidRDefault="000553FF" w:rsidP="00573C78">
      <w:pPr>
        <w:pStyle w:val="Naslov2"/>
        <w:rPr>
          <w:lang w:eastAsia="sl-SI"/>
        </w:rPr>
      </w:pPr>
      <w:bookmarkStart w:id="0" w:name="_GoBack"/>
      <w:r w:rsidRPr="00FC4FA6">
        <w:rPr>
          <w:lang w:eastAsia="sl-SI"/>
        </w:rPr>
        <w:t xml:space="preserve">IZRAČUN/NAVAJANJE HRANILNE VREDNOSTI PRI ŽIVILIH </w:t>
      </w:r>
    </w:p>
    <w:bookmarkEnd w:id="0"/>
    <w:p w:rsidR="000553FF" w:rsidRPr="00FC4FA6" w:rsidRDefault="000553FF" w:rsidP="00F96BFF">
      <w:pPr>
        <w:spacing w:line="240" w:lineRule="auto"/>
        <w:rPr>
          <w:rFonts w:cs="Arial"/>
          <w:szCs w:val="20"/>
          <w:lang w:val="sl-SI" w:eastAsia="sl-SI"/>
        </w:rPr>
      </w:pPr>
      <w:r w:rsidRPr="00FC4FA6">
        <w:rPr>
          <w:rFonts w:cs="Arial"/>
          <w:szCs w:val="20"/>
          <w:lang w:val="sl-SI" w:eastAsia="sl-SI"/>
        </w:rPr>
        <w:br/>
        <w:t>Pri navajanju hranilne vrednosti se navajajo  povprečnih vrednosti, ki temeljijo na:</w:t>
      </w:r>
      <w:r w:rsidRPr="00FC4FA6">
        <w:rPr>
          <w:rFonts w:cs="Arial"/>
          <w:szCs w:val="20"/>
          <w:lang w:val="sl-SI" w:eastAsia="sl-SI"/>
        </w:rPr>
        <w:br/>
        <w:t xml:space="preserve">(a) analizi živila, ki jo je opravil proizvajalec; </w:t>
      </w:r>
      <w:r w:rsidRPr="00FC4FA6">
        <w:rPr>
          <w:rFonts w:cs="Arial"/>
          <w:szCs w:val="20"/>
          <w:lang w:val="sl-SI" w:eastAsia="sl-SI"/>
        </w:rPr>
        <w:br/>
        <w:t xml:space="preserve">(b) izračunu iz znanih ali dejanskih povprečnih vrednosti uporabljenih sestavin; ali </w:t>
      </w:r>
      <w:r w:rsidRPr="00FC4FA6">
        <w:rPr>
          <w:rFonts w:cs="Arial"/>
          <w:szCs w:val="20"/>
          <w:lang w:val="sl-SI" w:eastAsia="sl-SI"/>
        </w:rPr>
        <w:br/>
        <w:t xml:space="preserve">(c) izračunu iz splošno veljavnih in sprejetih podatkov. </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 </w:t>
      </w:r>
    </w:p>
    <w:p w:rsidR="000553FF" w:rsidRPr="00FC4FA6" w:rsidRDefault="000553FF" w:rsidP="00F96BFF">
      <w:pPr>
        <w:spacing w:line="240" w:lineRule="auto"/>
        <w:jc w:val="both"/>
        <w:rPr>
          <w:rFonts w:cs="Arial"/>
          <w:szCs w:val="20"/>
          <w:lang w:val="sl-SI" w:eastAsia="sl-SI"/>
        </w:rPr>
      </w:pPr>
      <w:r w:rsidRPr="00FC4FA6">
        <w:rPr>
          <w:rFonts w:cs="Arial"/>
          <w:szCs w:val="20"/>
          <w:lang w:val="sl-SI" w:eastAsia="sl-SI"/>
        </w:rPr>
        <w:t>Navedeno pomeni, da ni nujno potrebno, da nosilci živilske dejavnosti navedejo hranilno vrednost na osnovi analiznih izvidov in za vsako posamezno serijo živil posebej. Pri navajanju povprečne hranilne vrednosti na označbi se dopuščajo tudi odstopanja od dejanskih vrednosti v posameznem živilu. Več o odstopanjih pa je napisano v Smernicah za nadzorne organe  v zvezi z določitvijo odstopanj za hranilne vrednosti navedene na oznaki.</w:t>
      </w:r>
    </w:p>
    <w:p w:rsidR="000553FF" w:rsidRPr="00FC4FA6" w:rsidRDefault="000553FF" w:rsidP="00F96BFF">
      <w:pPr>
        <w:spacing w:line="240" w:lineRule="auto"/>
        <w:jc w:val="both"/>
        <w:rPr>
          <w:rFonts w:cs="Arial"/>
          <w:szCs w:val="20"/>
          <w:lang w:val="sl-SI" w:eastAsia="sl-SI"/>
        </w:rPr>
      </w:pPr>
    </w:p>
    <w:p w:rsidR="000553FF" w:rsidRPr="00FC4FA6" w:rsidRDefault="000553FF" w:rsidP="00F96BFF">
      <w:pPr>
        <w:autoSpaceDE w:val="0"/>
        <w:autoSpaceDN w:val="0"/>
        <w:adjustRightInd w:val="0"/>
        <w:spacing w:line="240" w:lineRule="auto"/>
        <w:jc w:val="both"/>
        <w:rPr>
          <w:rFonts w:cs="Arial"/>
          <w:color w:val="000000"/>
          <w:szCs w:val="20"/>
          <w:lang w:val="sl-SI" w:eastAsia="sl-SI"/>
        </w:rPr>
      </w:pPr>
      <w:r w:rsidRPr="00FC4FA6">
        <w:rPr>
          <w:rFonts w:cs="Arial"/>
          <w:szCs w:val="20"/>
          <w:lang w:val="sl-SI"/>
        </w:rPr>
        <w:t>Komisija je pripravila razlagalni dokument (vprašanja in odgovori II) vezan tudi na obvezno označevanje hranilne vrednosti, ki vključuje nekatere primere iz Priloge V. Navedeni dokument je bil v angleškem j</w:t>
      </w:r>
      <w:r w:rsidR="00F96BFF" w:rsidRPr="00FC4FA6">
        <w:rPr>
          <w:rFonts w:cs="Arial"/>
          <w:szCs w:val="20"/>
          <w:lang w:val="sl-SI"/>
        </w:rPr>
        <w:t>eziku objavljen 13. d</w:t>
      </w:r>
      <w:r w:rsidRPr="00FC4FA6">
        <w:rPr>
          <w:rFonts w:cs="Arial"/>
          <w:szCs w:val="20"/>
          <w:lang w:val="sl-SI"/>
        </w:rPr>
        <w:t>ecembra 2016. Dosegljiv je na povezavi:</w:t>
      </w:r>
      <w:r w:rsidRPr="00FC4FA6">
        <w:rPr>
          <w:rFonts w:cs="Arial"/>
          <w:color w:val="C00000"/>
          <w:szCs w:val="20"/>
          <w:lang w:val="sl-SI"/>
        </w:rPr>
        <w:t xml:space="preserve"> </w:t>
      </w:r>
      <w:hyperlink r:id="rId9" w:history="1">
        <w:r w:rsidRPr="00FC4FA6">
          <w:rPr>
            <w:rFonts w:cs="Arial"/>
            <w:color w:val="0000FF"/>
            <w:szCs w:val="20"/>
            <w:u w:val="single"/>
            <w:lang w:val="sl-SI" w:eastAsia="sl-SI"/>
          </w:rPr>
          <w:t xml:space="preserve"> http://ec.europa.eu/food/sites/food/files/safety/docs/labelling_legislation_qanda_application_reg1169-2011-pt2_en.pdf</w:t>
        </w:r>
      </w:hyperlink>
      <w:r w:rsidRPr="00FC4FA6">
        <w:rPr>
          <w:rFonts w:cs="Arial"/>
          <w:color w:val="000000"/>
          <w:szCs w:val="20"/>
          <w:lang w:val="sl-SI" w:eastAsia="sl-SI"/>
        </w:rPr>
        <w:t xml:space="preserve"> </w:t>
      </w:r>
    </w:p>
    <w:p w:rsidR="000553FF" w:rsidRPr="00FC4FA6" w:rsidRDefault="000553FF" w:rsidP="00F96BFF">
      <w:pPr>
        <w:autoSpaceDE w:val="0"/>
        <w:autoSpaceDN w:val="0"/>
        <w:adjustRightInd w:val="0"/>
        <w:spacing w:line="240" w:lineRule="auto"/>
        <w:jc w:val="both"/>
        <w:rPr>
          <w:rFonts w:cs="Arial"/>
          <w:color w:val="000000"/>
          <w:szCs w:val="20"/>
          <w:lang w:val="sl-SI" w:eastAsia="sl-SI"/>
        </w:rPr>
      </w:pPr>
    </w:p>
    <w:p w:rsidR="000553FF" w:rsidRPr="00FC4FA6" w:rsidRDefault="000553FF" w:rsidP="00F96BFF">
      <w:pPr>
        <w:autoSpaceDE w:val="0"/>
        <w:autoSpaceDN w:val="0"/>
        <w:adjustRightInd w:val="0"/>
        <w:spacing w:line="240" w:lineRule="auto"/>
        <w:jc w:val="both"/>
        <w:rPr>
          <w:rFonts w:cs="Arial"/>
          <w:color w:val="000000"/>
          <w:szCs w:val="20"/>
          <w:lang w:val="sl-SI" w:eastAsia="sl-SI"/>
        </w:rPr>
      </w:pPr>
      <w:r w:rsidRPr="00FC4FA6">
        <w:rPr>
          <w:rFonts w:cs="Arial"/>
          <w:color w:val="000000"/>
          <w:szCs w:val="20"/>
          <w:lang w:val="sl-SI" w:eastAsia="sl-SI"/>
        </w:rPr>
        <w:t>V letu 2017 bo Komisija pripravila prevod navedenega dokumenta v vseh jezikih držav članic.</w:t>
      </w:r>
    </w:p>
    <w:p w:rsidR="000553FF" w:rsidRPr="00FC4FA6" w:rsidRDefault="000553FF" w:rsidP="00F96BFF">
      <w:pPr>
        <w:autoSpaceDE w:val="0"/>
        <w:autoSpaceDN w:val="0"/>
        <w:adjustRightInd w:val="0"/>
        <w:spacing w:line="240" w:lineRule="auto"/>
        <w:jc w:val="both"/>
        <w:rPr>
          <w:rFonts w:cs="Arial"/>
          <w:color w:val="000000"/>
          <w:szCs w:val="20"/>
          <w:lang w:val="sl-SI" w:eastAsia="sl-SI"/>
        </w:rPr>
      </w:pPr>
    </w:p>
    <w:p w:rsidR="000553FF" w:rsidRPr="00FC4FA6" w:rsidRDefault="000553FF" w:rsidP="000553FF">
      <w:pPr>
        <w:spacing w:line="240" w:lineRule="auto"/>
        <w:rPr>
          <w:rFonts w:ascii="Times New Roman" w:hAnsi="Times New Roman"/>
          <w:sz w:val="24"/>
          <w:lang w:val="sl-SI" w:eastAsia="sl-SI"/>
        </w:rPr>
      </w:pPr>
    </w:p>
    <w:p w:rsidR="000553FF" w:rsidRPr="00FC4FA6" w:rsidRDefault="000553FF" w:rsidP="00AF5131">
      <w:pPr>
        <w:jc w:val="both"/>
        <w:rPr>
          <w:lang w:val="sl-SI"/>
        </w:rPr>
      </w:pPr>
    </w:p>
    <w:p w:rsidR="000A320E" w:rsidRPr="00FC4FA6" w:rsidRDefault="000A320E" w:rsidP="00AF5131">
      <w:pPr>
        <w:jc w:val="both"/>
        <w:rPr>
          <w:lang w:val="sl-SI"/>
        </w:rPr>
      </w:pPr>
    </w:p>
    <w:p w:rsidR="000A320E" w:rsidRPr="00FC4FA6" w:rsidRDefault="000A320E" w:rsidP="00AF5131">
      <w:pPr>
        <w:jc w:val="both"/>
        <w:rPr>
          <w:rFonts w:cs="Arial"/>
          <w:b/>
          <w:color w:val="000000"/>
          <w:szCs w:val="20"/>
          <w:lang w:val="sl-SI"/>
        </w:rPr>
      </w:pPr>
    </w:p>
    <w:sectPr w:rsidR="000A320E" w:rsidRPr="00FC4FA6" w:rsidSect="00783310">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009F" w:rsidRDefault="0056009F">
      <w:r>
        <w:separator/>
      </w:r>
    </w:p>
  </w:endnote>
  <w:endnote w:type="continuationSeparator" w:id="0">
    <w:p w:rsidR="0056009F" w:rsidRDefault="0056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Republika">
    <w:charset w:val="EE"/>
    <w:family w:val="auto"/>
    <w:pitch w:val="variable"/>
    <w:sig w:usb0="A00000FF" w:usb1="4000205B" w:usb2="00000000" w:usb3="00000000" w:csb0="00000093" w:csb1="00000000"/>
    <w:embedRegular r:id="rId1" w:fontKey="{D8090113-063A-4E18-ABAA-0A853B32A204}"/>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2" w:fontKey="{72964229-AACA-40FE-8E10-3CAB3B17C6F8}"/>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embedRegular r:id="rId3" w:fontKey="{A3F4CC9D-933C-48D2-B066-61A4DF7511A4}"/>
  </w:font>
  <w:font w:name="Republika Bold">
    <w:altName w:val="Courier New"/>
    <w:charset w:val="00"/>
    <w:family w:val="auto"/>
    <w:pitch w:val="variable"/>
    <w:sig w:usb0="03000000" w:usb1="00000000" w:usb2="00000000" w:usb3="00000000" w:csb0="00000001" w:csb1="00000000"/>
    <w:embedBold r:id="rId4" w:fontKey="{2137FD34-2AFC-41A2-B871-F756C9087FCF}"/>
  </w:font>
  <w:font w:name="Calibri Light">
    <w:panose1 w:val="020F0302020204030204"/>
    <w:charset w:val="EE"/>
    <w:family w:val="swiss"/>
    <w:pitch w:val="variable"/>
    <w:sig w:usb0="E4002EFF" w:usb1="C000247B" w:usb2="00000009" w:usb3="00000000" w:csb0="000001FF" w:csb1="00000000"/>
    <w:embedRegular r:id="rId5" w:fontKey="{DCE93C92-EA0B-4A9B-8888-393927EABB6D}"/>
  </w:font>
  <w:font w:name="Calibri">
    <w:panose1 w:val="020F0502020204030204"/>
    <w:charset w:val="EE"/>
    <w:family w:val="swiss"/>
    <w:pitch w:val="variable"/>
    <w:sig w:usb0="E4002EFF" w:usb1="C000247B" w:usb2="00000009" w:usb3="00000000" w:csb0="000001FF" w:csb1="00000000"/>
    <w:embedRegular r:id="rId6" w:fontKey="{DF530A4A-4CB4-44CD-A7A7-213FF2454AC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DC7" w:rsidRDefault="00670DC7">
    <w:pPr>
      <w:pStyle w:val="Noga"/>
      <w:jc w:val="center"/>
    </w:pPr>
    <w:r>
      <w:fldChar w:fldCharType="begin"/>
    </w:r>
    <w:r>
      <w:instrText>PAGE   \* MERGEFORMAT</w:instrText>
    </w:r>
    <w:r>
      <w:fldChar w:fldCharType="separate"/>
    </w:r>
    <w:r w:rsidR="00573C78" w:rsidRPr="00573C78">
      <w:rPr>
        <w:noProof/>
        <w:lang w:val="sl-SI"/>
      </w:rPr>
      <w:t>2</w:t>
    </w:r>
    <w:r>
      <w:fldChar w:fldCharType="end"/>
    </w:r>
  </w:p>
  <w:p w:rsidR="00670DC7" w:rsidRDefault="00670DC7">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AF" w:rsidRDefault="00670DC7" w:rsidP="007443CD">
    <w:pPr>
      <w:autoSpaceDE w:val="0"/>
      <w:autoSpaceDN w:val="0"/>
      <w:adjustRightInd w:val="0"/>
      <w:spacing w:line="240" w:lineRule="auto"/>
      <w:jc w:val="center"/>
      <w:rPr>
        <w:rFonts w:cs="Arial"/>
        <w:color w:val="000000"/>
        <w:szCs w:val="20"/>
        <w:lang w:val="sl-SI" w:eastAsia="sl-SI"/>
      </w:rPr>
    </w:pPr>
    <w:r>
      <w:rPr>
        <w:rFonts w:cs="Arial"/>
        <w:color w:val="000000"/>
        <w:szCs w:val="20"/>
        <w:lang w:val="sl-SI" w:eastAsia="sl-SI"/>
      </w:rPr>
      <w:t>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009F" w:rsidRDefault="0056009F">
      <w:r>
        <w:separator/>
      </w:r>
    </w:p>
  </w:footnote>
  <w:footnote w:type="continuationSeparator" w:id="0">
    <w:p w:rsidR="0056009F" w:rsidRDefault="005600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5AF" w:rsidRPr="00110CBD" w:rsidRDefault="008505A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505AF" w:rsidRPr="008F3500">
      <w:trPr>
        <w:cantSplit/>
        <w:trHeight w:hRule="exact" w:val="847"/>
      </w:trPr>
      <w:tc>
        <w:tcPr>
          <w:tcW w:w="567" w:type="dxa"/>
        </w:tcPr>
        <w:p w:rsidR="008505AF" w:rsidRDefault="008505A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p w:rsidR="008505AF" w:rsidRPr="006D42D9" w:rsidRDefault="008505AF" w:rsidP="006D42D9">
          <w:pPr>
            <w:rPr>
              <w:rFonts w:ascii="Republika" w:hAnsi="Republika"/>
              <w:sz w:val="60"/>
              <w:szCs w:val="60"/>
              <w:lang w:val="sl-SI"/>
            </w:rPr>
          </w:pPr>
        </w:p>
      </w:tc>
    </w:tr>
  </w:tbl>
  <w:p w:rsidR="008505AF" w:rsidRPr="008F3500" w:rsidRDefault="008505AF"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rsidR="008505AF" w:rsidRPr="008F3500" w:rsidRDefault="008505A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rsidR="008505AF" w:rsidRPr="000E307C" w:rsidRDefault="008505AF" w:rsidP="000E307C">
    <w:pPr>
      <w:pStyle w:val="Glava"/>
      <w:tabs>
        <w:tab w:val="clear" w:pos="4320"/>
        <w:tab w:val="clear" w:pos="8640"/>
        <w:tab w:val="left" w:pos="5112"/>
      </w:tabs>
      <w:spacing w:after="120" w:line="240" w:lineRule="exact"/>
      <w:rPr>
        <w:rFonts w:ascii="Republika" w:hAnsi="Republika"/>
        <w:caps/>
        <w:lang w:val="sl-SI"/>
      </w:rPr>
    </w:pPr>
    <w:r>
      <w:rPr>
        <w:rFonts w:ascii="Republika" w:hAnsi="Republika"/>
        <w:caps/>
        <w:lang w:val="sl-SI"/>
      </w:rPr>
      <w:t>UPrava republike slovenije Za varno hrano,</w:t>
    </w:r>
    <w:r>
      <w:rPr>
        <w:rFonts w:ascii="Republika" w:hAnsi="Republika"/>
        <w:caps/>
        <w:lang w:val="sl-SI"/>
      </w:rPr>
      <w:br/>
      <w:t>veterinarstvo in varstvo rastlin</w:t>
    </w:r>
  </w:p>
  <w:p w:rsidR="008505AF" w:rsidRPr="008F3500" w:rsidRDefault="008505AF"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01 300 13 00</w:t>
    </w:r>
  </w:p>
  <w:p w:rsidR="008505AF" w:rsidRPr="008F3500" w:rsidRDefault="008505AF"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01 300 13 56</w:t>
    </w:r>
    <w:r w:rsidRPr="008F3500">
      <w:rPr>
        <w:rFonts w:cs="Arial"/>
        <w:sz w:val="16"/>
        <w:lang w:val="sl-SI"/>
      </w:rPr>
      <w:t xml:space="preserve"> </w:t>
    </w:r>
  </w:p>
  <w:p w:rsidR="008505AF" w:rsidRPr="008F3500" w:rsidRDefault="008505A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gp.uvhvvr@gov.si</w:t>
    </w:r>
  </w:p>
  <w:p w:rsidR="008505AF" w:rsidRPr="008F3500" w:rsidRDefault="008505A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www.uvhvvr.gov.si</w:t>
    </w:r>
  </w:p>
  <w:p w:rsidR="008505AF" w:rsidRPr="008F3500" w:rsidRDefault="008505AF"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77E7E96"/>
    <w:multiLevelType w:val="hybridMultilevel"/>
    <w:tmpl w:val="FF7E30A6"/>
    <w:lvl w:ilvl="0" w:tplc="5B80ABA2">
      <w:start w:val="2"/>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569715F"/>
    <w:multiLevelType w:val="hybridMultilevel"/>
    <w:tmpl w:val="5A12ED40"/>
    <w:lvl w:ilvl="0" w:tplc="AF189B90">
      <w:start w:val="3"/>
      <w:numFmt w:val="bullet"/>
      <w:lvlText w:val="-"/>
      <w:lvlJc w:val="left"/>
      <w:pPr>
        <w:ind w:left="720" w:hanging="360"/>
      </w:pPr>
      <w:rPr>
        <w:rFonts w:ascii="Republika" w:eastAsia="Times New Roman" w:hAnsi="Republik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3D2A2CDF"/>
    <w:multiLevelType w:val="hybridMultilevel"/>
    <w:tmpl w:val="CA1AF0C0"/>
    <w:lvl w:ilvl="0" w:tplc="2DBCE892">
      <w:numFmt w:val="bullet"/>
      <w:lvlText w:val="-"/>
      <w:lvlJc w:val="left"/>
      <w:pPr>
        <w:ind w:left="720" w:hanging="360"/>
      </w:pPr>
      <w:rPr>
        <w:rFonts w:ascii="Arial" w:eastAsia="Times New Roman" w:hAnsi="Arial" w:cs="Arial" w:hint="default"/>
        <w:color w:val="000000"/>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6" w15:restartNumberingAfterBreak="0">
    <w:nsid w:val="3E336D29"/>
    <w:multiLevelType w:val="hybridMultilevel"/>
    <w:tmpl w:val="9C4C885A"/>
    <w:lvl w:ilvl="0" w:tplc="837A6DAA">
      <w:start w:val="1"/>
      <w:numFmt w:val="decimal"/>
      <w:lvlText w:val="%1."/>
      <w:lvlJc w:val="left"/>
      <w:pPr>
        <w:ind w:left="720" w:hanging="360"/>
      </w:pPr>
      <w:rPr>
        <w:rFonts w:ascii="Tahoma" w:hAnsi="Tahoma" w:cs="Tahoma" w:hint="default"/>
        <w:color w:val="00000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08E5974"/>
    <w:multiLevelType w:val="hybridMultilevel"/>
    <w:tmpl w:val="841A50B4"/>
    <w:lvl w:ilvl="0" w:tplc="6CF0C0BC">
      <w:start w:val="1"/>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2675860"/>
    <w:multiLevelType w:val="multilevel"/>
    <w:tmpl w:val="42B2F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8C61BD"/>
    <w:multiLevelType w:val="hybridMultilevel"/>
    <w:tmpl w:val="CFF44B12"/>
    <w:lvl w:ilvl="0" w:tplc="432A36C0">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F8F01D9"/>
    <w:multiLevelType w:val="hybridMultilevel"/>
    <w:tmpl w:val="12409C3A"/>
    <w:lvl w:ilvl="0" w:tplc="21646EE0">
      <w:numFmt w:val="bullet"/>
      <w:lvlText w:val="-"/>
      <w:lvlJc w:val="left"/>
      <w:pPr>
        <w:ind w:left="720" w:hanging="360"/>
      </w:pPr>
      <w:rPr>
        <w:rFonts w:ascii="Republika" w:eastAsia="Times New Roman" w:hAnsi="Republika" w:cs="Republika"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BE311FD"/>
    <w:multiLevelType w:val="hybridMultilevel"/>
    <w:tmpl w:val="5BF4102E"/>
    <w:lvl w:ilvl="0" w:tplc="61567E80">
      <w:start w:val="1000"/>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0"/>
  </w:num>
  <w:num w:numId="5">
    <w:abstractNumId w:val="1"/>
  </w:num>
  <w:num w:numId="6">
    <w:abstractNumId w:val="6"/>
  </w:num>
  <w:num w:numId="7">
    <w:abstractNumId w:val="13"/>
  </w:num>
  <w:num w:numId="8">
    <w:abstractNumId w:val="7"/>
  </w:num>
  <w:num w:numId="9">
    <w:abstractNumId w:val="2"/>
  </w:num>
  <w:num w:numId="10">
    <w:abstractNumId w:val="12"/>
  </w:num>
  <w:num w:numId="11">
    <w:abstractNumId w:val="10"/>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716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BDE"/>
    <w:rsid w:val="00006438"/>
    <w:rsid w:val="000079FA"/>
    <w:rsid w:val="0001611C"/>
    <w:rsid w:val="00016AE7"/>
    <w:rsid w:val="00023A88"/>
    <w:rsid w:val="000241AD"/>
    <w:rsid w:val="00033ADE"/>
    <w:rsid w:val="00040AB5"/>
    <w:rsid w:val="000553FF"/>
    <w:rsid w:val="000827D3"/>
    <w:rsid w:val="00083D2A"/>
    <w:rsid w:val="00083FA2"/>
    <w:rsid w:val="00084006"/>
    <w:rsid w:val="000946BC"/>
    <w:rsid w:val="000A0BE2"/>
    <w:rsid w:val="000A12A0"/>
    <w:rsid w:val="000A320E"/>
    <w:rsid w:val="000A4E78"/>
    <w:rsid w:val="000A51C4"/>
    <w:rsid w:val="000A6982"/>
    <w:rsid w:val="000A7238"/>
    <w:rsid w:val="000A7E78"/>
    <w:rsid w:val="000E307C"/>
    <w:rsid w:val="000E70D2"/>
    <w:rsid w:val="000F39A5"/>
    <w:rsid w:val="000F5211"/>
    <w:rsid w:val="001014CF"/>
    <w:rsid w:val="001133BB"/>
    <w:rsid w:val="00116F26"/>
    <w:rsid w:val="00122106"/>
    <w:rsid w:val="00124054"/>
    <w:rsid w:val="001357B2"/>
    <w:rsid w:val="00141744"/>
    <w:rsid w:val="00160F9B"/>
    <w:rsid w:val="0017509C"/>
    <w:rsid w:val="00176120"/>
    <w:rsid w:val="001A0D9F"/>
    <w:rsid w:val="001A7FD2"/>
    <w:rsid w:val="001C1A1C"/>
    <w:rsid w:val="0020085C"/>
    <w:rsid w:val="00202A77"/>
    <w:rsid w:val="0021751B"/>
    <w:rsid w:val="0023078F"/>
    <w:rsid w:val="0026040D"/>
    <w:rsid w:val="00271CE5"/>
    <w:rsid w:val="002765A6"/>
    <w:rsid w:val="00281896"/>
    <w:rsid w:val="00282020"/>
    <w:rsid w:val="002829A2"/>
    <w:rsid w:val="002839E6"/>
    <w:rsid w:val="00284A05"/>
    <w:rsid w:val="00285C64"/>
    <w:rsid w:val="00287DE8"/>
    <w:rsid w:val="0029069C"/>
    <w:rsid w:val="002C53C6"/>
    <w:rsid w:val="002D5443"/>
    <w:rsid w:val="002D7660"/>
    <w:rsid w:val="002E4722"/>
    <w:rsid w:val="002F19CE"/>
    <w:rsid w:val="002F1AB4"/>
    <w:rsid w:val="002F5133"/>
    <w:rsid w:val="00301F0A"/>
    <w:rsid w:val="00313E1C"/>
    <w:rsid w:val="0031466D"/>
    <w:rsid w:val="00315A36"/>
    <w:rsid w:val="00330743"/>
    <w:rsid w:val="00330A05"/>
    <w:rsid w:val="00331692"/>
    <w:rsid w:val="00332C97"/>
    <w:rsid w:val="003355EE"/>
    <w:rsid w:val="00335E41"/>
    <w:rsid w:val="00345531"/>
    <w:rsid w:val="0035504C"/>
    <w:rsid w:val="003636BF"/>
    <w:rsid w:val="0037479F"/>
    <w:rsid w:val="00374926"/>
    <w:rsid w:val="00376C8E"/>
    <w:rsid w:val="003817FE"/>
    <w:rsid w:val="003845B4"/>
    <w:rsid w:val="00387B1A"/>
    <w:rsid w:val="003C4C97"/>
    <w:rsid w:val="003D035B"/>
    <w:rsid w:val="003D6B72"/>
    <w:rsid w:val="003E1C74"/>
    <w:rsid w:val="003E4D90"/>
    <w:rsid w:val="003F7864"/>
    <w:rsid w:val="00422526"/>
    <w:rsid w:val="00437189"/>
    <w:rsid w:val="00443667"/>
    <w:rsid w:val="00455BD6"/>
    <w:rsid w:val="00460916"/>
    <w:rsid w:val="00473013"/>
    <w:rsid w:val="00474368"/>
    <w:rsid w:val="00497F82"/>
    <w:rsid w:val="004A13B1"/>
    <w:rsid w:val="004A34BC"/>
    <w:rsid w:val="004C0926"/>
    <w:rsid w:val="004D3047"/>
    <w:rsid w:val="004D7FF5"/>
    <w:rsid w:val="00504D19"/>
    <w:rsid w:val="00511051"/>
    <w:rsid w:val="00512F82"/>
    <w:rsid w:val="00526246"/>
    <w:rsid w:val="0053304C"/>
    <w:rsid w:val="0056009F"/>
    <w:rsid w:val="00567106"/>
    <w:rsid w:val="00573C78"/>
    <w:rsid w:val="0057725F"/>
    <w:rsid w:val="00585E52"/>
    <w:rsid w:val="0058690D"/>
    <w:rsid w:val="005A00E5"/>
    <w:rsid w:val="005D1D91"/>
    <w:rsid w:val="005E1D3C"/>
    <w:rsid w:val="005E6463"/>
    <w:rsid w:val="005F54C7"/>
    <w:rsid w:val="005F673E"/>
    <w:rsid w:val="005F7CD2"/>
    <w:rsid w:val="006111D5"/>
    <w:rsid w:val="006143BB"/>
    <w:rsid w:val="00632253"/>
    <w:rsid w:val="00635744"/>
    <w:rsid w:val="006378EA"/>
    <w:rsid w:val="00642714"/>
    <w:rsid w:val="00643632"/>
    <w:rsid w:val="00643AA0"/>
    <w:rsid w:val="006455CE"/>
    <w:rsid w:val="00646568"/>
    <w:rsid w:val="0065700C"/>
    <w:rsid w:val="006578F0"/>
    <w:rsid w:val="00661636"/>
    <w:rsid w:val="00670DC7"/>
    <w:rsid w:val="006B4178"/>
    <w:rsid w:val="006B5773"/>
    <w:rsid w:val="006C6ABD"/>
    <w:rsid w:val="006D42D9"/>
    <w:rsid w:val="006E0BD3"/>
    <w:rsid w:val="006E15F6"/>
    <w:rsid w:val="006E2738"/>
    <w:rsid w:val="006E75B6"/>
    <w:rsid w:val="006F17B6"/>
    <w:rsid w:val="00733017"/>
    <w:rsid w:val="00736485"/>
    <w:rsid w:val="007443CD"/>
    <w:rsid w:val="00744A63"/>
    <w:rsid w:val="0075091F"/>
    <w:rsid w:val="007557AE"/>
    <w:rsid w:val="00772051"/>
    <w:rsid w:val="0077792F"/>
    <w:rsid w:val="00783310"/>
    <w:rsid w:val="00796192"/>
    <w:rsid w:val="00796567"/>
    <w:rsid w:val="007A1232"/>
    <w:rsid w:val="007A4A6D"/>
    <w:rsid w:val="007C1235"/>
    <w:rsid w:val="007D1BCF"/>
    <w:rsid w:val="007D3DC3"/>
    <w:rsid w:val="007D75CF"/>
    <w:rsid w:val="007E0626"/>
    <w:rsid w:val="007E6DC5"/>
    <w:rsid w:val="007E7F0C"/>
    <w:rsid w:val="007F0374"/>
    <w:rsid w:val="0081658E"/>
    <w:rsid w:val="008219A8"/>
    <w:rsid w:val="00835EC1"/>
    <w:rsid w:val="0084308F"/>
    <w:rsid w:val="008505AF"/>
    <w:rsid w:val="008566C0"/>
    <w:rsid w:val="00862F09"/>
    <w:rsid w:val="00867C0F"/>
    <w:rsid w:val="00871529"/>
    <w:rsid w:val="0088043C"/>
    <w:rsid w:val="0088266F"/>
    <w:rsid w:val="00886C3B"/>
    <w:rsid w:val="008906C9"/>
    <w:rsid w:val="008942D0"/>
    <w:rsid w:val="008A396F"/>
    <w:rsid w:val="008B25E3"/>
    <w:rsid w:val="008B369D"/>
    <w:rsid w:val="008C526B"/>
    <w:rsid w:val="008C5738"/>
    <w:rsid w:val="008D04F0"/>
    <w:rsid w:val="008D062E"/>
    <w:rsid w:val="008F3500"/>
    <w:rsid w:val="008F5E4B"/>
    <w:rsid w:val="00902B80"/>
    <w:rsid w:val="00912B95"/>
    <w:rsid w:val="0091399F"/>
    <w:rsid w:val="00913E2F"/>
    <w:rsid w:val="00924E3C"/>
    <w:rsid w:val="0092655F"/>
    <w:rsid w:val="009277A3"/>
    <w:rsid w:val="0093211B"/>
    <w:rsid w:val="00936B82"/>
    <w:rsid w:val="00955D75"/>
    <w:rsid w:val="00955EFE"/>
    <w:rsid w:val="0095745C"/>
    <w:rsid w:val="00960192"/>
    <w:rsid w:val="00960C53"/>
    <w:rsid w:val="009612BB"/>
    <w:rsid w:val="00961EE7"/>
    <w:rsid w:val="00967CEE"/>
    <w:rsid w:val="009768F0"/>
    <w:rsid w:val="00977A22"/>
    <w:rsid w:val="009A1611"/>
    <w:rsid w:val="009A1AC5"/>
    <w:rsid w:val="009A79FB"/>
    <w:rsid w:val="009B4A4B"/>
    <w:rsid w:val="009C5C0C"/>
    <w:rsid w:val="009F0551"/>
    <w:rsid w:val="009F3431"/>
    <w:rsid w:val="00A02D28"/>
    <w:rsid w:val="00A125C5"/>
    <w:rsid w:val="00A16730"/>
    <w:rsid w:val="00A3023C"/>
    <w:rsid w:val="00A4392A"/>
    <w:rsid w:val="00A46D4C"/>
    <w:rsid w:val="00A5039D"/>
    <w:rsid w:val="00A562C0"/>
    <w:rsid w:val="00A61A80"/>
    <w:rsid w:val="00A627A1"/>
    <w:rsid w:val="00A65EE7"/>
    <w:rsid w:val="00A70133"/>
    <w:rsid w:val="00A96790"/>
    <w:rsid w:val="00AA7516"/>
    <w:rsid w:val="00AB0843"/>
    <w:rsid w:val="00AB6C34"/>
    <w:rsid w:val="00AB70F2"/>
    <w:rsid w:val="00AB7CA1"/>
    <w:rsid w:val="00AF40D3"/>
    <w:rsid w:val="00AF4F85"/>
    <w:rsid w:val="00AF5131"/>
    <w:rsid w:val="00B0686A"/>
    <w:rsid w:val="00B17141"/>
    <w:rsid w:val="00B31575"/>
    <w:rsid w:val="00B41E6F"/>
    <w:rsid w:val="00B440F9"/>
    <w:rsid w:val="00B47B46"/>
    <w:rsid w:val="00B6388F"/>
    <w:rsid w:val="00B648F3"/>
    <w:rsid w:val="00B70CA1"/>
    <w:rsid w:val="00B8547D"/>
    <w:rsid w:val="00B91902"/>
    <w:rsid w:val="00BA26DE"/>
    <w:rsid w:val="00BC0278"/>
    <w:rsid w:val="00BC610A"/>
    <w:rsid w:val="00BD0623"/>
    <w:rsid w:val="00BD2D24"/>
    <w:rsid w:val="00BE584E"/>
    <w:rsid w:val="00C10797"/>
    <w:rsid w:val="00C15658"/>
    <w:rsid w:val="00C20399"/>
    <w:rsid w:val="00C2112D"/>
    <w:rsid w:val="00C250D5"/>
    <w:rsid w:val="00C27C3A"/>
    <w:rsid w:val="00C32E99"/>
    <w:rsid w:val="00C35881"/>
    <w:rsid w:val="00C3747A"/>
    <w:rsid w:val="00C378FE"/>
    <w:rsid w:val="00C42AA1"/>
    <w:rsid w:val="00C43FEC"/>
    <w:rsid w:val="00C52B0D"/>
    <w:rsid w:val="00C67AE2"/>
    <w:rsid w:val="00C67C69"/>
    <w:rsid w:val="00C75AB0"/>
    <w:rsid w:val="00C76FC4"/>
    <w:rsid w:val="00C92898"/>
    <w:rsid w:val="00CA7ADF"/>
    <w:rsid w:val="00CA7CB9"/>
    <w:rsid w:val="00CB192B"/>
    <w:rsid w:val="00CC02EB"/>
    <w:rsid w:val="00CC23FC"/>
    <w:rsid w:val="00CD2A2D"/>
    <w:rsid w:val="00CE13E5"/>
    <w:rsid w:val="00CE7514"/>
    <w:rsid w:val="00CE7964"/>
    <w:rsid w:val="00CF4FCE"/>
    <w:rsid w:val="00CF7FD1"/>
    <w:rsid w:val="00D052C6"/>
    <w:rsid w:val="00D139FE"/>
    <w:rsid w:val="00D20BDE"/>
    <w:rsid w:val="00D248DE"/>
    <w:rsid w:val="00D27A51"/>
    <w:rsid w:val="00D3358C"/>
    <w:rsid w:val="00D3460F"/>
    <w:rsid w:val="00D50FEB"/>
    <w:rsid w:val="00D65E4B"/>
    <w:rsid w:val="00D6791B"/>
    <w:rsid w:val="00D76019"/>
    <w:rsid w:val="00D82C98"/>
    <w:rsid w:val="00D8542D"/>
    <w:rsid w:val="00DA2092"/>
    <w:rsid w:val="00DC2F52"/>
    <w:rsid w:val="00DC3C51"/>
    <w:rsid w:val="00DC6A71"/>
    <w:rsid w:val="00DE5B46"/>
    <w:rsid w:val="00DE618A"/>
    <w:rsid w:val="00DF5C3F"/>
    <w:rsid w:val="00E0357D"/>
    <w:rsid w:val="00E141E6"/>
    <w:rsid w:val="00E21A2B"/>
    <w:rsid w:val="00E24EC2"/>
    <w:rsid w:val="00E34A6C"/>
    <w:rsid w:val="00E406DB"/>
    <w:rsid w:val="00E450E0"/>
    <w:rsid w:val="00E4639C"/>
    <w:rsid w:val="00E552A1"/>
    <w:rsid w:val="00E55F9C"/>
    <w:rsid w:val="00E621D0"/>
    <w:rsid w:val="00E72038"/>
    <w:rsid w:val="00E85830"/>
    <w:rsid w:val="00E91722"/>
    <w:rsid w:val="00E95BF0"/>
    <w:rsid w:val="00EA1848"/>
    <w:rsid w:val="00EA379C"/>
    <w:rsid w:val="00EA4FFE"/>
    <w:rsid w:val="00EB5993"/>
    <w:rsid w:val="00EB6CF9"/>
    <w:rsid w:val="00EB787F"/>
    <w:rsid w:val="00EC2D99"/>
    <w:rsid w:val="00EC5969"/>
    <w:rsid w:val="00ED5528"/>
    <w:rsid w:val="00EE527C"/>
    <w:rsid w:val="00EF0D39"/>
    <w:rsid w:val="00F0023B"/>
    <w:rsid w:val="00F20028"/>
    <w:rsid w:val="00F240BB"/>
    <w:rsid w:val="00F44E17"/>
    <w:rsid w:val="00F46724"/>
    <w:rsid w:val="00F57FED"/>
    <w:rsid w:val="00F66023"/>
    <w:rsid w:val="00F739A6"/>
    <w:rsid w:val="00F752A2"/>
    <w:rsid w:val="00F75B63"/>
    <w:rsid w:val="00F77C48"/>
    <w:rsid w:val="00F8515A"/>
    <w:rsid w:val="00F96BFF"/>
    <w:rsid w:val="00FA0558"/>
    <w:rsid w:val="00FB2023"/>
    <w:rsid w:val="00FC4FA6"/>
    <w:rsid w:val="00FD099A"/>
    <w:rsid w:val="00FD5229"/>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colormru v:ext="edit" colors="#428299"/>
    </o:shapedefaults>
    <o:shapelayout v:ext="edit">
      <o:idmap v:ext="edit" data="1"/>
    </o:shapelayout>
  </w:shapeDefaults>
  <w:doNotEmbedSmartTags/>
  <w:decimalSymbol w:val=","/>
  <w:listSeparator w:val=";"/>
  <w15:chartTrackingRefBased/>
  <w15:docId w15:val="{1606EB57-621B-4BBB-9C82-E298B5E4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73C78"/>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573C78"/>
    <w:pPr>
      <w:spacing w:after="150" w:line="240" w:lineRule="auto"/>
      <w:outlineLvl w:val="0"/>
    </w:pPr>
    <w:rPr>
      <w:rFonts w:ascii="Times New Roman" w:hAnsi="Times New Roman"/>
      <w:b/>
      <w:bCs/>
      <w:color w:val="529CBA"/>
      <w:sz w:val="36"/>
      <w:szCs w:val="36"/>
      <w:lang w:val="sl-SI" w:eastAsia="sl-SI"/>
    </w:rPr>
  </w:style>
  <w:style w:type="paragraph" w:styleId="Naslov2">
    <w:name w:val="heading 2"/>
    <w:basedOn w:val="Navaden"/>
    <w:next w:val="Navaden"/>
    <w:link w:val="Naslov2Znak"/>
    <w:uiPriority w:val="9"/>
    <w:qFormat/>
    <w:rsid w:val="00573C78"/>
    <w:pPr>
      <w:jc w:val="both"/>
      <w:outlineLvl w:val="1"/>
    </w:pPr>
    <w:rPr>
      <w:b/>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ZnakZnak">
    <w:name w:val="Znak Znak Znak"/>
    <w:basedOn w:val="Navaden"/>
    <w:rsid w:val="00B91902"/>
    <w:pPr>
      <w:spacing w:after="160" w:line="240" w:lineRule="exact"/>
    </w:pPr>
    <w:rPr>
      <w:rFonts w:ascii="Tahoma" w:hAnsi="Tahoma"/>
      <w:szCs w:val="20"/>
    </w:rPr>
  </w:style>
  <w:style w:type="paragraph" w:customStyle="1" w:styleId="ZnakZnakZnak0">
    <w:name w:val="Znak Znak Znak"/>
    <w:basedOn w:val="Navaden"/>
    <w:rsid w:val="00EB787F"/>
    <w:pPr>
      <w:spacing w:after="160" w:line="240" w:lineRule="exact"/>
    </w:pPr>
    <w:rPr>
      <w:rFonts w:ascii="Tahoma" w:eastAsia="SimSun" w:hAnsi="Tahoma"/>
      <w:szCs w:val="20"/>
    </w:rPr>
  </w:style>
  <w:style w:type="paragraph" w:styleId="Navadensplet">
    <w:name w:val="Normal (Web)"/>
    <w:basedOn w:val="Navaden"/>
    <w:uiPriority w:val="99"/>
    <w:rsid w:val="00EB787F"/>
    <w:pPr>
      <w:spacing w:after="212" w:line="240" w:lineRule="auto"/>
    </w:pPr>
    <w:rPr>
      <w:rFonts w:ascii="Times New Roman" w:eastAsia="SimSun" w:hAnsi="Times New Roman"/>
      <w:color w:val="333333"/>
      <w:sz w:val="18"/>
      <w:szCs w:val="18"/>
      <w:lang w:val="sl-SI" w:eastAsia="zh-CN"/>
    </w:rPr>
  </w:style>
  <w:style w:type="character" w:styleId="Krepko">
    <w:name w:val="Strong"/>
    <w:uiPriority w:val="22"/>
    <w:qFormat/>
    <w:rsid w:val="00D3358C"/>
    <w:rPr>
      <w:b/>
      <w:bCs/>
    </w:rPr>
  </w:style>
  <w:style w:type="paragraph" w:styleId="Odstavekseznama">
    <w:name w:val="List Paragraph"/>
    <w:basedOn w:val="Navaden"/>
    <w:uiPriority w:val="34"/>
    <w:qFormat/>
    <w:rsid w:val="006578F0"/>
    <w:pPr>
      <w:spacing w:line="240" w:lineRule="auto"/>
      <w:ind w:left="720"/>
      <w:contextualSpacing/>
    </w:pPr>
    <w:rPr>
      <w:rFonts w:ascii="Times New Roman" w:hAnsi="Times New Roman"/>
      <w:sz w:val="24"/>
      <w:lang w:val="sl-SI" w:eastAsia="sl-SI"/>
    </w:rPr>
  </w:style>
  <w:style w:type="paragraph" w:customStyle="1" w:styleId="odstavek">
    <w:name w:val="odstavek"/>
    <w:basedOn w:val="Navaden"/>
    <w:rsid w:val="006E75B6"/>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link w:val="Noga"/>
    <w:uiPriority w:val="99"/>
    <w:rsid w:val="00670DC7"/>
    <w:rPr>
      <w:rFonts w:ascii="Arial" w:hAnsi="Arial"/>
      <w:szCs w:val="24"/>
      <w:lang w:val="en-US" w:eastAsia="en-US"/>
    </w:rPr>
  </w:style>
  <w:style w:type="paragraph" w:styleId="Besedilooblaka">
    <w:name w:val="Balloon Text"/>
    <w:basedOn w:val="Navaden"/>
    <w:link w:val="BesedilooblakaZnak"/>
    <w:uiPriority w:val="99"/>
    <w:semiHidden/>
    <w:unhideWhenUsed/>
    <w:rsid w:val="0077792F"/>
    <w:pPr>
      <w:spacing w:line="240" w:lineRule="auto"/>
    </w:pPr>
    <w:rPr>
      <w:rFonts w:ascii="Segoe UI" w:hAnsi="Segoe UI" w:cs="Segoe UI"/>
      <w:sz w:val="18"/>
      <w:szCs w:val="18"/>
    </w:rPr>
  </w:style>
  <w:style w:type="character" w:customStyle="1" w:styleId="BesedilooblakaZnak">
    <w:name w:val="Besedilo oblačka Znak"/>
    <w:link w:val="Besedilooblaka"/>
    <w:uiPriority w:val="99"/>
    <w:semiHidden/>
    <w:rsid w:val="0077792F"/>
    <w:rPr>
      <w:rFonts w:ascii="Segoe UI" w:hAnsi="Segoe UI" w:cs="Segoe UI"/>
      <w:sz w:val="18"/>
      <w:szCs w:val="18"/>
      <w:lang w:val="en-US" w:eastAsia="en-US"/>
    </w:rPr>
  </w:style>
  <w:style w:type="paragraph" w:customStyle="1" w:styleId="align-justify">
    <w:name w:val="align-justify"/>
    <w:basedOn w:val="Navaden"/>
    <w:rsid w:val="00DA2092"/>
    <w:pPr>
      <w:spacing w:before="100" w:beforeAutospacing="1" w:after="100" w:afterAutospacing="1" w:line="240" w:lineRule="auto"/>
      <w:jc w:val="both"/>
    </w:pPr>
    <w:rPr>
      <w:rFonts w:ascii="Times New Roman" w:hAnsi="Times New Roman"/>
      <w:sz w:val="24"/>
      <w:lang w:val="sl-SI" w:eastAsia="sl-SI"/>
    </w:rPr>
  </w:style>
  <w:style w:type="character" w:customStyle="1" w:styleId="Naslov2Znak">
    <w:name w:val="Naslov 2 Znak"/>
    <w:basedOn w:val="Privzetapisavaodstavka"/>
    <w:link w:val="Naslov2"/>
    <w:uiPriority w:val="9"/>
    <w:rsid w:val="00573C78"/>
    <w:rPr>
      <w:rFonts w:ascii="Arial" w:hAnsi="Arial"/>
      <w:b/>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90371">
      <w:bodyDiv w:val="1"/>
      <w:marLeft w:val="0"/>
      <w:marRight w:val="0"/>
      <w:marTop w:val="0"/>
      <w:marBottom w:val="0"/>
      <w:divBdr>
        <w:top w:val="none" w:sz="0" w:space="0" w:color="auto"/>
        <w:left w:val="none" w:sz="0" w:space="0" w:color="auto"/>
        <w:bottom w:val="none" w:sz="0" w:space="0" w:color="auto"/>
        <w:right w:val="none" w:sz="0" w:space="0" w:color="auto"/>
      </w:divBdr>
    </w:div>
    <w:div w:id="616450904">
      <w:bodyDiv w:val="1"/>
      <w:marLeft w:val="0"/>
      <w:marRight w:val="0"/>
      <w:marTop w:val="0"/>
      <w:marBottom w:val="0"/>
      <w:divBdr>
        <w:top w:val="none" w:sz="0" w:space="0" w:color="auto"/>
        <w:left w:val="none" w:sz="0" w:space="0" w:color="auto"/>
        <w:bottom w:val="none" w:sz="0" w:space="0" w:color="auto"/>
        <w:right w:val="none" w:sz="0" w:space="0" w:color="auto"/>
      </w:divBdr>
      <w:divsChild>
        <w:div w:id="393552382">
          <w:marLeft w:val="0"/>
          <w:marRight w:val="0"/>
          <w:marTop w:val="0"/>
          <w:marBottom w:val="0"/>
          <w:divBdr>
            <w:top w:val="none" w:sz="0" w:space="0" w:color="auto"/>
            <w:left w:val="none" w:sz="0" w:space="0" w:color="auto"/>
            <w:bottom w:val="none" w:sz="0" w:space="0" w:color="auto"/>
            <w:right w:val="none" w:sz="0" w:space="0" w:color="auto"/>
          </w:divBdr>
          <w:divsChild>
            <w:div w:id="621493646">
              <w:marLeft w:val="0"/>
              <w:marRight w:val="0"/>
              <w:marTop w:val="0"/>
              <w:marBottom w:val="0"/>
              <w:divBdr>
                <w:top w:val="none" w:sz="0" w:space="0" w:color="auto"/>
                <w:left w:val="none" w:sz="0" w:space="0" w:color="auto"/>
                <w:bottom w:val="none" w:sz="0" w:space="0" w:color="auto"/>
                <w:right w:val="none" w:sz="0" w:space="0" w:color="auto"/>
              </w:divBdr>
              <w:divsChild>
                <w:div w:id="1481654040">
                  <w:marLeft w:val="0"/>
                  <w:marRight w:val="0"/>
                  <w:marTop w:val="0"/>
                  <w:marBottom w:val="0"/>
                  <w:divBdr>
                    <w:top w:val="none" w:sz="0" w:space="0" w:color="auto"/>
                    <w:left w:val="none" w:sz="0" w:space="0" w:color="auto"/>
                    <w:bottom w:val="none" w:sz="0" w:space="0" w:color="auto"/>
                    <w:right w:val="none" w:sz="0" w:space="0" w:color="auto"/>
                  </w:divBdr>
                  <w:divsChild>
                    <w:div w:id="68710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815571">
      <w:bodyDiv w:val="1"/>
      <w:marLeft w:val="0"/>
      <w:marRight w:val="0"/>
      <w:marTop w:val="0"/>
      <w:marBottom w:val="0"/>
      <w:divBdr>
        <w:top w:val="none" w:sz="0" w:space="0" w:color="auto"/>
        <w:left w:val="none" w:sz="0" w:space="0" w:color="auto"/>
        <w:bottom w:val="none" w:sz="0" w:space="0" w:color="auto"/>
        <w:right w:val="none" w:sz="0" w:space="0" w:color="auto"/>
      </w:divBdr>
    </w:div>
    <w:div w:id="860631025">
      <w:bodyDiv w:val="1"/>
      <w:marLeft w:val="0"/>
      <w:marRight w:val="0"/>
      <w:marTop w:val="0"/>
      <w:marBottom w:val="0"/>
      <w:divBdr>
        <w:top w:val="none" w:sz="0" w:space="0" w:color="auto"/>
        <w:left w:val="none" w:sz="0" w:space="0" w:color="auto"/>
        <w:bottom w:val="none" w:sz="0" w:space="0" w:color="auto"/>
        <w:right w:val="none" w:sz="0" w:space="0" w:color="auto"/>
      </w:divBdr>
      <w:divsChild>
        <w:div w:id="1186560380">
          <w:marLeft w:val="0"/>
          <w:marRight w:val="0"/>
          <w:marTop w:val="0"/>
          <w:marBottom w:val="0"/>
          <w:divBdr>
            <w:top w:val="none" w:sz="0" w:space="0" w:color="auto"/>
            <w:left w:val="none" w:sz="0" w:space="0" w:color="auto"/>
            <w:bottom w:val="none" w:sz="0" w:space="0" w:color="auto"/>
            <w:right w:val="none" w:sz="0" w:space="0" w:color="auto"/>
          </w:divBdr>
          <w:divsChild>
            <w:div w:id="763577414">
              <w:marLeft w:val="0"/>
              <w:marRight w:val="0"/>
              <w:marTop w:val="0"/>
              <w:marBottom w:val="0"/>
              <w:divBdr>
                <w:top w:val="none" w:sz="0" w:space="0" w:color="auto"/>
                <w:left w:val="none" w:sz="0" w:space="0" w:color="auto"/>
                <w:bottom w:val="none" w:sz="0" w:space="0" w:color="auto"/>
                <w:right w:val="none" w:sz="0" w:space="0" w:color="auto"/>
              </w:divBdr>
              <w:divsChild>
                <w:div w:id="719549166">
                  <w:marLeft w:val="0"/>
                  <w:marRight w:val="0"/>
                  <w:marTop w:val="0"/>
                  <w:marBottom w:val="0"/>
                  <w:divBdr>
                    <w:top w:val="none" w:sz="0" w:space="0" w:color="auto"/>
                    <w:left w:val="none" w:sz="0" w:space="0" w:color="auto"/>
                    <w:bottom w:val="none" w:sz="0" w:space="0" w:color="auto"/>
                    <w:right w:val="none" w:sz="0" w:space="0" w:color="auto"/>
                  </w:divBdr>
                  <w:divsChild>
                    <w:div w:id="206625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922131">
      <w:bodyDiv w:val="1"/>
      <w:marLeft w:val="0"/>
      <w:marRight w:val="0"/>
      <w:marTop w:val="0"/>
      <w:marBottom w:val="0"/>
      <w:divBdr>
        <w:top w:val="none" w:sz="0" w:space="0" w:color="auto"/>
        <w:left w:val="none" w:sz="0" w:space="0" w:color="auto"/>
        <w:bottom w:val="none" w:sz="0" w:space="0" w:color="auto"/>
        <w:right w:val="none" w:sz="0" w:space="0" w:color="auto"/>
      </w:divBdr>
      <w:divsChild>
        <w:div w:id="955596255">
          <w:marLeft w:val="0"/>
          <w:marRight w:val="0"/>
          <w:marTop w:val="0"/>
          <w:marBottom w:val="0"/>
          <w:divBdr>
            <w:top w:val="none" w:sz="0" w:space="0" w:color="auto"/>
            <w:left w:val="none" w:sz="0" w:space="0" w:color="auto"/>
            <w:bottom w:val="none" w:sz="0" w:space="0" w:color="auto"/>
            <w:right w:val="none" w:sz="0" w:space="0" w:color="auto"/>
          </w:divBdr>
          <w:divsChild>
            <w:div w:id="896625613">
              <w:marLeft w:val="0"/>
              <w:marRight w:val="0"/>
              <w:marTop w:val="0"/>
              <w:marBottom w:val="0"/>
              <w:divBdr>
                <w:top w:val="none" w:sz="0" w:space="0" w:color="auto"/>
                <w:left w:val="none" w:sz="0" w:space="0" w:color="auto"/>
                <w:bottom w:val="none" w:sz="0" w:space="0" w:color="auto"/>
                <w:right w:val="none" w:sz="0" w:space="0" w:color="auto"/>
              </w:divBdr>
              <w:divsChild>
                <w:div w:id="881478072">
                  <w:marLeft w:val="0"/>
                  <w:marRight w:val="0"/>
                  <w:marTop w:val="0"/>
                  <w:marBottom w:val="0"/>
                  <w:divBdr>
                    <w:top w:val="none" w:sz="0" w:space="0" w:color="auto"/>
                    <w:left w:val="none" w:sz="0" w:space="0" w:color="auto"/>
                    <w:bottom w:val="none" w:sz="0" w:space="0" w:color="auto"/>
                    <w:right w:val="none" w:sz="0" w:space="0" w:color="auto"/>
                  </w:divBdr>
                  <w:divsChild>
                    <w:div w:id="141586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9791">
      <w:bodyDiv w:val="1"/>
      <w:marLeft w:val="0"/>
      <w:marRight w:val="0"/>
      <w:marTop w:val="0"/>
      <w:marBottom w:val="0"/>
      <w:divBdr>
        <w:top w:val="none" w:sz="0" w:space="0" w:color="auto"/>
        <w:left w:val="none" w:sz="0" w:space="0" w:color="auto"/>
        <w:bottom w:val="none" w:sz="0" w:space="0" w:color="auto"/>
        <w:right w:val="none" w:sz="0" w:space="0" w:color="auto"/>
      </w:divBdr>
      <w:divsChild>
        <w:div w:id="613562223">
          <w:marLeft w:val="0"/>
          <w:marRight w:val="0"/>
          <w:marTop w:val="0"/>
          <w:marBottom w:val="0"/>
          <w:divBdr>
            <w:top w:val="none" w:sz="0" w:space="0" w:color="auto"/>
            <w:left w:val="none" w:sz="0" w:space="0" w:color="auto"/>
            <w:bottom w:val="none" w:sz="0" w:space="0" w:color="auto"/>
            <w:right w:val="none" w:sz="0" w:space="0" w:color="auto"/>
          </w:divBdr>
          <w:divsChild>
            <w:div w:id="467892090">
              <w:marLeft w:val="0"/>
              <w:marRight w:val="0"/>
              <w:marTop w:val="0"/>
              <w:marBottom w:val="0"/>
              <w:divBdr>
                <w:top w:val="none" w:sz="0" w:space="0" w:color="auto"/>
                <w:left w:val="none" w:sz="0" w:space="0" w:color="auto"/>
                <w:bottom w:val="none" w:sz="0" w:space="0" w:color="auto"/>
                <w:right w:val="none" w:sz="0" w:space="0" w:color="auto"/>
              </w:divBdr>
              <w:divsChild>
                <w:div w:id="1637298293">
                  <w:marLeft w:val="0"/>
                  <w:marRight w:val="0"/>
                  <w:marTop w:val="0"/>
                  <w:marBottom w:val="0"/>
                  <w:divBdr>
                    <w:top w:val="none" w:sz="0" w:space="0" w:color="auto"/>
                    <w:left w:val="none" w:sz="0" w:space="0" w:color="auto"/>
                    <w:bottom w:val="none" w:sz="0" w:space="0" w:color="auto"/>
                    <w:right w:val="none" w:sz="0" w:space="0" w:color="auto"/>
                  </w:divBdr>
                  <w:divsChild>
                    <w:div w:id="1780101983">
                      <w:marLeft w:val="0"/>
                      <w:marRight w:val="0"/>
                      <w:marTop w:val="0"/>
                      <w:marBottom w:val="0"/>
                      <w:divBdr>
                        <w:top w:val="none" w:sz="0" w:space="0" w:color="auto"/>
                        <w:left w:val="none" w:sz="0" w:space="0" w:color="auto"/>
                        <w:bottom w:val="none" w:sz="0" w:space="0" w:color="auto"/>
                        <w:right w:val="none" w:sz="0" w:space="0" w:color="auto"/>
                      </w:divBdr>
                      <w:divsChild>
                        <w:div w:id="19880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77618">
              <w:marLeft w:val="0"/>
              <w:marRight w:val="240"/>
              <w:marTop w:val="0"/>
              <w:marBottom w:val="0"/>
              <w:divBdr>
                <w:top w:val="none" w:sz="0" w:space="0" w:color="auto"/>
                <w:left w:val="none" w:sz="0" w:space="0" w:color="auto"/>
                <w:bottom w:val="none" w:sz="0" w:space="0" w:color="auto"/>
                <w:right w:val="none" w:sz="0" w:space="0" w:color="auto"/>
              </w:divBdr>
              <w:divsChild>
                <w:div w:id="5869621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585450185">
      <w:bodyDiv w:val="1"/>
      <w:marLeft w:val="0"/>
      <w:marRight w:val="0"/>
      <w:marTop w:val="0"/>
      <w:marBottom w:val="0"/>
      <w:divBdr>
        <w:top w:val="none" w:sz="0" w:space="0" w:color="auto"/>
        <w:left w:val="none" w:sz="0" w:space="0" w:color="auto"/>
        <w:bottom w:val="none" w:sz="0" w:space="0" w:color="auto"/>
        <w:right w:val="none" w:sz="0" w:space="0" w:color="auto"/>
      </w:divBdr>
      <w:divsChild>
        <w:div w:id="1286230901">
          <w:marLeft w:val="0"/>
          <w:marRight w:val="0"/>
          <w:marTop w:val="0"/>
          <w:marBottom w:val="0"/>
          <w:divBdr>
            <w:top w:val="none" w:sz="0" w:space="0" w:color="auto"/>
            <w:left w:val="none" w:sz="0" w:space="0" w:color="auto"/>
            <w:bottom w:val="none" w:sz="0" w:space="0" w:color="auto"/>
            <w:right w:val="none" w:sz="0" w:space="0" w:color="auto"/>
          </w:divBdr>
          <w:divsChild>
            <w:div w:id="83305970">
              <w:marLeft w:val="0"/>
              <w:marRight w:val="0"/>
              <w:marTop w:val="0"/>
              <w:marBottom w:val="0"/>
              <w:divBdr>
                <w:top w:val="none" w:sz="0" w:space="0" w:color="auto"/>
                <w:left w:val="none" w:sz="0" w:space="0" w:color="auto"/>
                <w:bottom w:val="none" w:sz="0" w:space="0" w:color="auto"/>
                <w:right w:val="none" w:sz="0" w:space="0" w:color="auto"/>
              </w:divBdr>
              <w:divsChild>
                <w:div w:id="640615518">
                  <w:marLeft w:val="0"/>
                  <w:marRight w:val="0"/>
                  <w:marTop w:val="0"/>
                  <w:marBottom w:val="0"/>
                  <w:divBdr>
                    <w:top w:val="none" w:sz="0" w:space="0" w:color="auto"/>
                    <w:left w:val="none" w:sz="0" w:space="0" w:color="auto"/>
                    <w:bottom w:val="none" w:sz="0" w:space="0" w:color="auto"/>
                    <w:right w:val="none" w:sz="0" w:space="0" w:color="auto"/>
                  </w:divBdr>
                  <w:divsChild>
                    <w:div w:id="207666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37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pkp.si/sl_SI/cms/pomoc/pomoc-pri-delu-z-opkp"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ec.europa.eu/food/sites/food/files/safety/docs/labelling_legislation_qanda_application_reg1169-2011-pt2_en.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pu\Desktop\DOPISI%202013\UvhvvrRS.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71E420-ABDC-4BEB-9C75-C6FAA80F1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UvhvvrRS</Template>
  <TotalTime>0</TotalTime>
  <Pages>2</Pages>
  <Words>727</Words>
  <Characters>4748</Characters>
  <Application>Microsoft Office Word</Application>
  <DocSecurity>0</DocSecurity>
  <Lines>39</Lines>
  <Paragraphs>10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5465</CharactersWithSpaces>
  <SharedDoc>false</SharedDoc>
  <HLinks>
    <vt:vector size="12" baseType="variant">
      <vt:variant>
        <vt:i4>4259943</vt:i4>
      </vt:variant>
      <vt:variant>
        <vt:i4>3</vt:i4>
      </vt:variant>
      <vt:variant>
        <vt:i4>0</vt:i4>
      </vt:variant>
      <vt:variant>
        <vt:i4>5</vt:i4>
      </vt:variant>
      <vt:variant>
        <vt:lpwstr>http://ec.europa.eu/food/sites/food/files/safety/docs/labelling_legislation_qanda_application_reg1169-2011-pt2_en.pdf</vt:lpwstr>
      </vt:variant>
      <vt:variant>
        <vt:lpwstr/>
      </vt:variant>
      <vt:variant>
        <vt:i4>2883661</vt:i4>
      </vt:variant>
      <vt:variant>
        <vt:i4>0</vt:i4>
      </vt:variant>
      <vt:variant>
        <vt:i4>0</vt:i4>
      </vt:variant>
      <vt:variant>
        <vt:i4>5</vt:i4>
      </vt:variant>
      <vt:variant>
        <vt:lpwstr>http://www.opkp.si/sl_SI/cms/pomoc/pomoc-pri-delu-z-opkp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uporabnik</dc:creator>
  <cp:keywords/>
  <dc:description/>
  <cp:lastModifiedBy>Nina Pezdirec</cp:lastModifiedBy>
  <cp:revision>2</cp:revision>
  <cp:lastPrinted>2016-10-13T10:43:00Z</cp:lastPrinted>
  <dcterms:created xsi:type="dcterms:W3CDTF">2022-11-03T08:32:00Z</dcterms:created>
  <dcterms:modified xsi:type="dcterms:W3CDTF">2022-11-03T08:32:00Z</dcterms:modified>
</cp:coreProperties>
</file>